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38" w:rsidRPr="00F141AE" w:rsidRDefault="00311838" w:rsidP="0031183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141AE">
        <w:rPr>
          <w:rFonts w:ascii="Times New Roman" w:hAnsi="Times New Roman" w:cs="Times New Roman"/>
          <w:sz w:val="20"/>
          <w:szCs w:val="20"/>
        </w:rPr>
        <w:t xml:space="preserve">Управление образования Артемовского </w:t>
      </w:r>
      <w:r w:rsidR="00144639">
        <w:rPr>
          <w:rFonts w:ascii="Times New Roman" w:hAnsi="Times New Roman" w:cs="Times New Roman"/>
          <w:sz w:val="20"/>
          <w:szCs w:val="20"/>
        </w:rPr>
        <w:t>муниципального</w:t>
      </w:r>
      <w:r w:rsidRPr="00F141AE">
        <w:rPr>
          <w:rFonts w:ascii="Times New Roman" w:hAnsi="Times New Roman" w:cs="Times New Roman"/>
          <w:sz w:val="20"/>
          <w:szCs w:val="20"/>
        </w:rPr>
        <w:t xml:space="preserve"> округа</w:t>
      </w:r>
    </w:p>
    <w:p w:rsidR="00311838" w:rsidRPr="00F141AE" w:rsidRDefault="00311838" w:rsidP="00311838">
      <w:pPr>
        <w:pStyle w:val="a3"/>
        <w:ind w:firstLine="120"/>
        <w:jc w:val="center"/>
        <w:rPr>
          <w:rFonts w:ascii="Times New Roman" w:hAnsi="Times New Roman" w:cs="Times New Roman"/>
          <w:b/>
        </w:rPr>
      </w:pPr>
      <w:r w:rsidRPr="00F141AE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311838" w:rsidRPr="00F141AE" w:rsidRDefault="00311838" w:rsidP="00311838">
      <w:pPr>
        <w:pStyle w:val="a3"/>
        <w:jc w:val="center"/>
        <w:rPr>
          <w:rFonts w:ascii="Times New Roman" w:hAnsi="Times New Roman" w:cs="Times New Roman"/>
          <w:b/>
        </w:rPr>
      </w:pPr>
      <w:r w:rsidRPr="00F141AE">
        <w:rPr>
          <w:rFonts w:ascii="Times New Roman" w:hAnsi="Times New Roman" w:cs="Times New Roman"/>
          <w:b/>
        </w:rPr>
        <w:t>«Средняя общеобразовательная школа № 3»</w:t>
      </w:r>
    </w:p>
    <w:p w:rsidR="00311838" w:rsidRPr="00F141AE" w:rsidRDefault="00311838" w:rsidP="00311838">
      <w:pPr>
        <w:pStyle w:val="a3"/>
        <w:jc w:val="center"/>
        <w:rPr>
          <w:rFonts w:ascii="Times New Roman" w:hAnsi="Times New Roman" w:cs="Times New Roman"/>
        </w:rPr>
      </w:pPr>
      <w:r w:rsidRPr="00F141AE">
        <w:rPr>
          <w:rFonts w:ascii="Times New Roman" w:hAnsi="Times New Roman" w:cs="Times New Roman"/>
        </w:rPr>
        <w:t xml:space="preserve">623784 Свердловская область, г. </w:t>
      </w:r>
      <w:proofErr w:type="gramStart"/>
      <w:r w:rsidRPr="00F141AE">
        <w:rPr>
          <w:rFonts w:ascii="Times New Roman" w:hAnsi="Times New Roman" w:cs="Times New Roman"/>
        </w:rPr>
        <w:t>Артемовский</w:t>
      </w:r>
      <w:proofErr w:type="gramEnd"/>
      <w:r w:rsidRPr="00F141AE">
        <w:rPr>
          <w:rFonts w:ascii="Times New Roman" w:hAnsi="Times New Roman" w:cs="Times New Roman"/>
        </w:rPr>
        <w:t>, ул. Лесная, 23, тел. (343 63) 2-90-64,</w:t>
      </w:r>
    </w:p>
    <w:p w:rsidR="00311838" w:rsidRPr="00143A4D" w:rsidRDefault="00311838" w:rsidP="00311838">
      <w:pPr>
        <w:jc w:val="center"/>
        <w:rPr>
          <w:spacing w:val="-1"/>
          <w:sz w:val="24"/>
          <w:szCs w:val="24"/>
          <w:lang w:val="en-US"/>
        </w:rPr>
      </w:pPr>
      <w:proofErr w:type="gramStart"/>
      <w:r w:rsidRPr="00F141AE">
        <w:rPr>
          <w:lang w:val="en-US"/>
        </w:rPr>
        <w:t>e</w:t>
      </w:r>
      <w:r w:rsidRPr="00143A4D">
        <w:rPr>
          <w:lang w:val="en-US"/>
        </w:rPr>
        <w:t>-</w:t>
      </w:r>
      <w:r w:rsidRPr="00F141AE">
        <w:rPr>
          <w:lang w:val="en-US"/>
        </w:rPr>
        <w:t>mail</w:t>
      </w:r>
      <w:proofErr w:type="gramEnd"/>
      <w:r w:rsidRPr="00143A4D">
        <w:rPr>
          <w:lang w:val="en-US"/>
        </w:rPr>
        <w:t xml:space="preserve">: </w:t>
      </w:r>
      <w:hyperlink r:id="rId5" w:history="1">
        <w:r w:rsidRPr="00F141AE">
          <w:rPr>
            <w:rStyle w:val="a5"/>
            <w:lang w:val="en-US"/>
          </w:rPr>
          <w:t>mou</w:t>
        </w:r>
        <w:r w:rsidRPr="00143A4D">
          <w:rPr>
            <w:rStyle w:val="a5"/>
            <w:lang w:val="en-US"/>
          </w:rPr>
          <w:t>_</w:t>
        </w:r>
        <w:r w:rsidRPr="00F141AE">
          <w:rPr>
            <w:rStyle w:val="a5"/>
            <w:lang w:val="en-US"/>
          </w:rPr>
          <w:t>sosh</w:t>
        </w:r>
        <w:r w:rsidRPr="00143A4D">
          <w:rPr>
            <w:rStyle w:val="a5"/>
            <w:lang w:val="en-US"/>
          </w:rPr>
          <w:t>3@</w:t>
        </w:r>
        <w:r w:rsidRPr="00F141AE">
          <w:rPr>
            <w:rStyle w:val="a5"/>
            <w:lang w:val="en-US"/>
          </w:rPr>
          <w:t>inbox</w:t>
        </w:r>
        <w:r w:rsidRPr="00143A4D">
          <w:rPr>
            <w:rStyle w:val="a5"/>
            <w:lang w:val="en-US"/>
          </w:rPr>
          <w:t>.</w:t>
        </w:r>
        <w:r w:rsidRPr="00F141AE">
          <w:rPr>
            <w:rStyle w:val="a5"/>
            <w:lang w:val="en-US"/>
          </w:rPr>
          <w:t>ru</w:t>
        </w:r>
      </w:hyperlink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143A4D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311838" w:rsidRPr="004E1170" w:rsidRDefault="00311838" w:rsidP="00311838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ПРОГРАММА</w:t>
      </w:r>
    </w:p>
    <w:p w:rsidR="00311838" w:rsidRPr="004E1170" w:rsidRDefault="00311838" w:rsidP="00311838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1838" w:rsidRPr="004E1170" w:rsidRDefault="00311838" w:rsidP="00311838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E117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ЛАГЕРЯ С ДНЕВНЫМ ПРЕБЫВАНИЕМ </w:t>
      </w:r>
    </w:p>
    <w:p w:rsidR="00311838" w:rsidRPr="004E1170" w:rsidRDefault="00311838" w:rsidP="00311838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1838" w:rsidRPr="004E1170" w:rsidRDefault="00311838" w:rsidP="00311838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576" w:hanging="57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УЧАЩИХСЯ 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</w:t>
      </w: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ОУ</w:t>
      </w:r>
      <w:proofErr w:type="gramStart"/>
      <w:r w:rsidRPr="004E1170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</w:t>
      </w:r>
      <w:proofErr w:type="gramEnd"/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ОШ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№3</w:t>
      </w:r>
      <w:r w:rsidRPr="004E1170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311838" w:rsidRPr="004E1170" w:rsidRDefault="00311838" w:rsidP="00311838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1838" w:rsidRPr="004E1170" w:rsidRDefault="00311838" w:rsidP="003118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В ПЕРИОД </w:t>
      </w:r>
      <w:r w:rsidR="0057551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ВЕСЕННИХ</w:t>
      </w: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КАНИКУЛ 202</w:t>
      </w:r>
      <w:r w:rsidR="0057551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5</w:t>
      </w:r>
      <w:r w:rsidRPr="004E11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ГОДА</w:t>
      </w:r>
    </w:p>
    <w:p w:rsidR="00311838" w:rsidRPr="004E1170" w:rsidRDefault="00311838" w:rsidP="003118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11838" w:rsidRPr="004E1170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Pr="004E1170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Pr="004E1170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Pr="004E1170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Pr="004E1170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cs="Calibri"/>
          <w:color w:val="000000"/>
          <w:sz w:val="28"/>
          <w:szCs w:val="28"/>
          <w:highlight w:val="white"/>
        </w:rPr>
      </w:pPr>
      <w:r w:rsidRPr="004E117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Возраст детей: 6-1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7</w:t>
      </w:r>
      <w:r w:rsidRPr="004E117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лет</w:t>
      </w: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4E1170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Срок реализации программы: </w:t>
      </w:r>
      <w:r w:rsidR="0057551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24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 w:rsidR="0057551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03-28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 w:rsidR="0057551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03</w:t>
      </w: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ртемовский</w:t>
      </w: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202</w:t>
      </w:r>
      <w:r w:rsidR="0057551F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5</w:t>
      </w:r>
    </w:p>
    <w:p w:rsidR="00311838" w:rsidRDefault="00311838" w:rsidP="00311838">
      <w:pPr>
        <w:autoSpaceDE w:val="0"/>
        <w:autoSpaceDN w:val="0"/>
        <w:adjustRightInd w:val="0"/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311838" w:rsidRPr="009262A5" w:rsidRDefault="00311838" w:rsidP="0031183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lastRenderedPageBreak/>
        <w:t>Информационная карта</w:t>
      </w:r>
    </w:p>
    <w:tbl>
      <w:tblPr>
        <w:tblW w:w="9214" w:type="dxa"/>
        <w:tblInd w:w="108" w:type="dxa"/>
        <w:tblLayout w:type="fixed"/>
        <w:tblLook w:val="0000"/>
      </w:tblPr>
      <w:tblGrid>
        <w:gridCol w:w="3261"/>
        <w:gridCol w:w="5953"/>
      </w:tblGrid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Полное название программы</w:t>
            </w:r>
          </w:p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Программа детского оздоровительного лагеря с дневным пребыванием детей</w:t>
            </w:r>
          </w:p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</w:rPr>
            </w:pP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cs="Calibri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Создание условий для полноценного и безопасного летнего оздоровительного отдыха детей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Участники программы, количество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44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Дети 6-1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</w:t>
            </w: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лет в </w:t>
            </w:r>
            <w:r w:rsidRPr="00565FA5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количестве</w:t>
            </w: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 w:rsidR="0014463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74</w:t>
            </w: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человек</w:t>
            </w:r>
            <w:r w:rsidR="0014463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57551F" w:rsidP="0057551F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24</w:t>
            </w:r>
            <w:r w:rsidR="00311838"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03</w:t>
            </w:r>
            <w:r w:rsidR="00311838"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28</w:t>
            </w:r>
            <w:r w:rsidR="00311838"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.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03</w:t>
            </w:r>
            <w:r w:rsidR="00311838">
              <w:rPr>
                <w:rFonts w:ascii="Times New Roman CYR" w:hAnsi="Times New Roman CYR" w:cs="Times New Roman CYR"/>
                <w:color w:val="000000"/>
                <w:sz w:val="28"/>
                <w:szCs w:val="28"/>
                <w:highlight w:val="white"/>
              </w:rPr>
              <w:t>.202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5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Default="00311838" w:rsidP="00161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Гражданско-патриотическое, художественно-эстетическое,</w:t>
            </w:r>
            <w:r w:rsidRPr="00565FA5">
              <w:rPr>
                <w:rFonts w:cs="Calibri"/>
                <w:color w:val="000000"/>
              </w:rPr>
              <w:t xml:space="preserve"> </w:t>
            </w: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спортивно-оздоровительное</w:t>
            </w:r>
          </w:p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интеллектуальное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cs="Calibri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cs="Calibri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Занятость и оздоровление детей,</w:t>
            </w:r>
            <w:r w:rsidRPr="00565FA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  <w:lang w:val="en-US"/>
              </w:rPr>
            </w:pPr>
            <w:r w:rsidRPr="00565FA5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F502F2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2F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Б</w:t>
            </w:r>
            <w:r w:rsidRPr="00F502F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ОУ</w:t>
            </w:r>
            <w:proofErr w:type="gramStart"/>
            <w:r w:rsidRPr="00F502F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F502F2"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ОШ</w:t>
            </w: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 xml:space="preserve"> №3»</w:t>
            </w:r>
          </w:p>
        </w:tc>
      </w:tr>
      <w:tr w:rsidR="00311838" w:rsidRPr="00565FA5" w:rsidTr="00161022">
        <w:trPr>
          <w:trHeight w:val="1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</w:rPr>
            </w:pPr>
          </w:p>
        </w:tc>
        <w:tc>
          <w:tcPr>
            <w:tcW w:w="5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1838" w:rsidRPr="00565FA5" w:rsidRDefault="00311838" w:rsidP="00161022">
            <w:pPr>
              <w:autoSpaceDE w:val="0"/>
              <w:autoSpaceDN w:val="0"/>
              <w:adjustRightInd w:val="0"/>
              <w:spacing w:after="0" w:line="240" w:lineRule="atLeast"/>
              <w:rPr>
                <w:rFonts w:cs="Calibri"/>
              </w:rPr>
            </w:pPr>
          </w:p>
        </w:tc>
      </w:tr>
    </w:tbl>
    <w:p w:rsidR="00311838" w:rsidRPr="009262A5" w:rsidRDefault="00311838" w:rsidP="00311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Пояснительная записка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системе непрерывного образования каникулы играют весьма важную роль для развития, воспитания и оздоровления детей и подростков.</w:t>
      </w:r>
      <w:r>
        <w:rPr>
          <w:rFonts w:cs="Calibri"/>
          <w:color w:val="000000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Это не только социальная защита, это период, когда дети могут 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сделать свою жизнь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полной интересных знакомств, полезных увлечений и занятий, могут научиться петь, танцевать, играть, с пользой провести свободное время.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Воспитательная ценность системы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311838" w:rsidRPr="009262A5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Большой процент детей остается не охваченным организованной деятельностью. Предоставленные сами себе дети подвержены влиянию улицы, дорожно-транспортным происшествиям, несчастным случаям, они невольно попадают в группы риска. 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lastRenderedPageBreak/>
        <w:t>        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Концепция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Истина гласит, что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только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здоровый человек с хорошим самочувствием, психологической устойчивостью, высокой нравственностью способен быть счастливым,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Учитывая все вышесказанное,</w:t>
      </w:r>
      <w:r w:rsidRPr="00F502F2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педагогический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коллектив оздоровительного лагеря ставит перед собой следующие цели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задачи:</w:t>
      </w:r>
    </w:p>
    <w:p w:rsidR="00311838" w:rsidRDefault="00311838" w:rsidP="00311838">
      <w:pPr>
        <w:tabs>
          <w:tab w:val="center" w:pos="4824"/>
          <w:tab w:val="left" w:pos="7050"/>
        </w:tabs>
        <w:autoSpaceDE w:val="0"/>
        <w:autoSpaceDN w:val="0"/>
        <w:adjustRightInd w:val="0"/>
        <w:spacing w:after="0" w:line="240" w:lineRule="auto"/>
        <w:ind w:firstLine="709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Цель программы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: создание условий для организации полноценного и безопасного </w:t>
      </w:r>
      <w:r w:rsidR="00143A4D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осеннего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оздоровительного отдыха детей.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Задачи программы: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создание необходимых условий для организации содержательного отдыха детей;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развитие познавательной активности, творческого и интеллектуального потенциала детей;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укрепление навыков здорового образа жизни;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навыков общения и толерантности;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расширение и углубление знаний детей о родном городе, его истории, достопримечательностях, людях.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Возраст участников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Программа рассчитана на детей от 6 и до достижения 17 лет.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комплектовании особое внимание уделяется детям из малообеспеченных, неполных семей,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 семей, детям, находящимся в трудной жизненной ситуации.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Лагерь реализует 3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основных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направления:</w:t>
      </w:r>
    </w:p>
    <w:p w:rsidR="00311838" w:rsidRPr="001E46B8" w:rsidRDefault="00311838" w:rsidP="003118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spellStart"/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Оздоровительно-досуговая</w:t>
      </w:r>
      <w:proofErr w:type="spellEnd"/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для детей6-12 лет</w:t>
      </w:r>
    </w:p>
    <w:p w:rsidR="00311838" w:rsidRPr="001E46B8" w:rsidRDefault="00311838" w:rsidP="003118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Спортивная (13-16)</w:t>
      </w:r>
    </w:p>
    <w:p w:rsidR="00311838" w:rsidRPr="001E46B8" w:rsidRDefault="00311838" w:rsidP="0031183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Интеллектуальная (14-17)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Срок реализации программы</w:t>
      </w:r>
    </w:p>
    <w:p w:rsidR="00311838" w:rsidRPr="00565FA5" w:rsidRDefault="0057551F" w:rsidP="00311838">
      <w:pPr>
        <w:autoSpaceDE w:val="0"/>
        <w:autoSpaceDN w:val="0"/>
        <w:adjustRightInd w:val="0"/>
        <w:spacing w:after="0" w:line="240" w:lineRule="atLeast"/>
        <w:jc w:val="center"/>
        <w:rPr>
          <w:rFonts w:cs="Calibri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24</w:t>
      </w:r>
      <w:r w:rsidR="003118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03</w:t>
      </w:r>
      <w:r w:rsidR="003118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28</w:t>
      </w:r>
      <w:r w:rsidR="003118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03</w:t>
      </w:r>
      <w:r w:rsidR="0031183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.202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5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Формы и методы реализации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Данная программа реализуется через использование групповых, индивидуальных и коллективных форм работы, которые осуществляются с использованием традиционных методов: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конкурсы;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игры;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соревнования;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праздники;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презентации;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экскурсии;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прогулки;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тренировки;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консультации и тренинги.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Одним из важнейших средств и методов организации воспитательного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Тип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Данная программа по продолжительности является краткосрочной, т.е. реализуется в течение каникул. По своей направленности является комплексной, т.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е. включает в себя разноплановую деятельность, объединяет 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Направленность программы</w:t>
      </w:r>
    </w:p>
    <w:p w:rsidR="00311838" w:rsidRPr="001E46B8" w:rsidRDefault="00311838" w:rsidP="00311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proofErr w:type="spellStart"/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Оздоровительно-досуговая</w:t>
      </w:r>
      <w:proofErr w:type="spellEnd"/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для детей;</w:t>
      </w:r>
    </w:p>
    <w:p w:rsidR="00311838" w:rsidRDefault="00311838" w:rsidP="00311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Спортивная;</w:t>
      </w:r>
    </w:p>
    <w:p w:rsidR="00311838" w:rsidRPr="001E46B8" w:rsidRDefault="00311838" w:rsidP="00311838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Интеллектуальная 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Механизм реализации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708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Этапы реализации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Подготовительный: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проведение совещаний;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издание приказа о проведении лагерной смены;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подготовка методического материала;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разработка программы деятельности 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подбор кадров для работы;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составление необходимой документации.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Организационный: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ознакомление воспитанников с правилами жизнедеятельности и программой.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Практический: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реализация основной идей смены;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вовлечение детей и подростков в различные виды коллективно-творческих дел;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работа творческих мастерских.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Проведение тренировок и соревнований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Проведение консультаций и тренингов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Аналитический: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подведение итогов смены;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выработка перспектив деятельности организации;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анализ предложений, поступивших от детей, родителей, педагогов по деятельности в будущем.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Условия реализации программы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Программа разработана с учётом </w:t>
      </w:r>
      <w:proofErr w:type="gramStart"/>
      <w:r w:rsidRPr="004E1170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законодательных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нормативн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о-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правовых документов: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конвенцией ООН о правах ребёнка;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конституцией РФ;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законом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образовании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»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федеральным законом 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основных гарантиях прав ребёнка в Российской Федерации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 24.07.98 г. № 124 – ФЗ;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трудовым кодексом Российской Федерации от 2006г. №197-ФЗ;</w:t>
      </w:r>
    </w:p>
    <w:p w:rsidR="00311838" w:rsidRPr="009262A5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приказом Министерства образования и науки РФ от 13.07.2001г. № 2688 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утверждении порядка проведения смен профильных лагерей с дневным пребыванием детей, лагерей труда и отдыха</w:t>
      </w:r>
      <w:r w:rsidRPr="009262A5">
        <w:rPr>
          <w:rFonts w:ascii="Times New Roman" w:hAnsi="Times New Roman"/>
          <w:color w:val="000000"/>
          <w:sz w:val="28"/>
          <w:szCs w:val="28"/>
          <w:highlight w:val="white"/>
        </w:rPr>
        <w:t>».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Материально-техническое обеспечение: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спортивный зал школы, дворовая детская площадка;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актовый зал школы для проведения культурно-массовых мероприятий;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помещения для занятий </w:t>
      </w:r>
      <w:r w:rsidRPr="001E46B8">
        <w:rPr>
          <w:rFonts w:ascii="Times New Roman" w:hAnsi="Times New Roman"/>
          <w:color w:val="000000"/>
          <w:sz w:val="28"/>
          <w:szCs w:val="28"/>
          <w:highlight w:val="white"/>
        </w:rPr>
        <w:t>творческих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объединений;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материалы для оформления и творчества;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наличие канцелярских принадлежностей;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настольные игры, спортивный инвентарь, детские игрушки;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музыкальная аппаратура, видеотехника;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призы, грамоты для стимулирования.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Кадровое обеспечение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реализации программы участвуют: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педагоги;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педагоги дополнительного образования.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библиотекарь, медицинск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ий</w:t>
      </w: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ра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ботники, работники правопорядка.</w:t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Методическое обеспечение программы: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наличие программы, план мероприятий;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должностные инструкции, приказы об организации </w:t>
      </w:r>
    </w:p>
    <w:p w:rsidR="00311838" w:rsidRPr="001E46B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 w:rsidRPr="001E46B8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подбор методических разработок в соответствии с планом работы;</w:t>
      </w:r>
    </w:p>
    <w:p w:rsidR="00311838" w:rsidRDefault="00311838" w:rsidP="00311838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разработка системы отслеживания результатов и подведение итогов.</w:t>
      </w:r>
    </w:p>
    <w:p w:rsidR="00311838" w:rsidRPr="00311838" w:rsidRDefault="00311838" w:rsidP="0031183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  <w:r w:rsidRPr="00311838"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Режим дня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311838" w:rsidRPr="001E46B8" w:rsidTr="00161022">
        <w:tc>
          <w:tcPr>
            <w:tcW w:w="4785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1E46B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Планерка педагогов</w:t>
            </w:r>
          </w:p>
        </w:tc>
        <w:tc>
          <w:tcPr>
            <w:tcW w:w="4786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1E46B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8.45-9.00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 w:rsidRPr="001E46B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Прием детей</w:t>
            </w:r>
          </w:p>
        </w:tc>
        <w:tc>
          <w:tcPr>
            <w:tcW w:w="4786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9.00-9.30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Зарядка </w:t>
            </w:r>
          </w:p>
        </w:tc>
        <w:tc>
          <w:tcPr>
            <w:tcW w:w="4786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9.35-9.45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Линейка </w:t>
            </w:r>
          </w:p>
        </w:tc>
        <w:tc>
          <w:tcPr>
            <w:tcW w:w="4786" w:type="dxa"/>
          </w:tcPr>
          <w:p w:rsidR="00311838" w:rsidRPr="001E46B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9.45-10.00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 xml:space="preserve">Завтрак 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10.00-10.30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Занятия по интересам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10.0-11.00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Организация и проведение коллективных творческих дел, прогулки, спортивные тренировки, консультации и тренинги.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11.00-13.30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2A6D1E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О</w:t>
            </w:r>
            <w:r w:rsidR="00311838"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бед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13.00-13.30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Свободная деятельность по интересам, кружки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14.00-14.30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Итоговая линейка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14.30-14.40</w:t>
            </w:r>
          </w:p>
        </w:tc>
      </w:tr>
      <w:tr w:rsidR="00311838" w:rsidRPr="001E46B8" w:rsidTr="00161022">
        <w:tc>
          <w:tcPr>
            <w:tcW w:w="4785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Отправление детей домой</w:t>
            </w:r>
          </w:p>
        </w:tc>
        <w:tc>
          <w:tcPr>
            <w:tcW w:w="4786" w:type="dxa"/>
          </w:tcPr>
          <w:p w:rsidR="00311838" w:rsidRDefault="00311838" w:rsidP="00161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  <w:t>14.40</w:t>
            </w:r>
          </w:p>
        </w:tc>
      </w:tr>
    </w:tbl>
    <w:p w:rsidR="00311838" w:rsidRDefault="00311838"/>
    <w:p w:rsidR="00311838" w:rsidRDefault="00311838">
      <w:r>
        <w:br w:type="page"/>
      </w:r>
    </w:p>
    <w:p w:rsidR="00311838" w:rsidRDefault="00311838" w:rsidP="00311838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311838" w:rsidRDefault="00311838" w:rsidP="00311838">
      <w:pPr>
        <w:widowControl w:val="0"/>
        <w:autoSpaceDE w:val="0"/>
        <w:autoSpaceDN w:val="0"/>
        <w:spacing w:before="24" w:after="0" w:line="240" w:lineRule="auto"/>
        <w:ind w:firstLine="426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</w:rPr>
        <w:sectPr w:rsidR="00311838" w:rsidSect="00DB77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551F" w:rsidRDefault="0057551F" w:rsidP="0057551F">
      <w:pPr>
        <w:widowControl w:val="0"/>
        <w:spacing w:before="24" w:after="0" w:line="240" w:lineRule="auto"/>
        <w:ind w:firstLine="426"/>
        <w:jc w:val="center"/>
        <w:outlineLvl w:val="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ПЛАН-</w:t>
      </w:r>
      <w:r>
        <w:rPr>
          <w:rFonts w:ascii="Times New Roman" w:hAnsi="Times New Roman"/>
          <w:b/>
          <w:spacing w:val="-2"/>
          <w:sz w:val="28"/>
        </w:rPr>
        <w:t>СЕТКА</w:t>
      </w:r>
    </w:p>
    <w:p w:rsidR="0057551F" w:rsidRDefault="0057551F" w:rsidP="0057551F">
      <w:pPr>
        <w:widowControl w:val="0"/>
        <w:spacing w:before="9" w:after="0" w:line="247" w:lineRule="auto"/>
        <w:ind w:firstLine="426"/>
        <w:jc w:val="center"/>
        <w:outlineLvl w:val="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воспитательной работы оздоровительного лагеря МБОУ «СОШ № 3» с дневным пребыванием детей</w:t>
      </w:r>
    </w:p>
    <w:p w:rsidR="0057551F" w:rsidRDefault="0057551F" w:rsidP="0057551F">
      <w:pPr>
        <w:spacing w:after="160" w:line="259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(24.03.2025-28.03.2025)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1134"/>
        <w:gridCol w:w="2268"/>
        <w:gridCol w:w="6663"/>
        <w:gridCol w:w="3402"/>
      </w:tblGrid>
      <w:tr w:rsidR="0057551F" w:rsidTr="002C4807">
        <w:trPr>
          <w:trHeight w:val="9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Дата/день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Номер дня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Тема дня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2C48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Ответственные, воспитатели</w:t>
            </w:r>
          </w:p>
        </w:tc>
      </w:tr>
      <w:tr w:rsidR="0057551F" w:rsidTr="002C4807">
        <w:trPr>
          <w:trHeight w:val="15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24.03.25г./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первый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«Открытие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смены»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Линейка «Здравствуй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>лагерь!»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самоуправления (выбор актива)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на лучшее оформление отряда «Наша визитная карточка».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1716"/>
              </w:tabs>
              <w:spacing w:after="0" w:line="240" w:lineRule="auto"/>
              <w:ind w:left="0" w:firstLine="0"/>
              <w:rPr>
                <w:rFonts w:ascii="Times New Roman" w:hAnsi="Times New Roman"/>
                <w:spacing w:val="-2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Развлекательное мероприятие «Путешествие по Русским сказкам</w:t>
            </w:r>
            <w:r w:rsidR="000B583C">
              <w:rPr>
                <w:rFonts w:ascii="Times New Roman" w:hAnsi="Times New Roman"/>
                <w:sz w:val="28"/>
              </w:rPr>
              <w:t>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  <w:tab w:val="left" w:pos="171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Минутка</w:t>
            </w:r>
            <w:r>
              <w:rPr>
                <w:rFonts w:ascii="Times New Roman" w:hAnsi="Times New Roman"/>
                <w:spacing w:val="-2"/>
                <w:sz w:val="28"/>
              </w:rPr>
              <w:tab/>
              <w:t xml:space="preserve">здоровья </w:t>
            </w:r>
            <w:r>
              <w:rPr>
                <w:rFonts w:ascii="Times New Roman" w:hAnsi="Times New Roman"/>
                <w:sz w:val="28"/>
              </w:rPr>
              <w:t>«Мой рост и мой</w:t>
            </w:r>
            <w:r>
              <w:rPr>
                <w:rFonts w:ascii="Times New Roman" w:hAnsi="Times New Roman"/>
                <w:spacing w:val="-4"/>
                <w:sz w:val="28"/>
              </w:rPr>
              <w:t xml:space="preserve"> вес»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Игровое представление, 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посвящённое </w:t>
            </w:r>
            <w:r>
              <w:rPr>
                <w:rFonts w:ascii="Times New Roman" w:hAnsi="Times New Roman"/>
                <w:sz w:val="28"/>
              </w:rPr>
              <w:t xml:space="preserve">открытию лагерной смены 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Тренировки по волейболу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консультации.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мероприятие-Авдюкова Е.Ю., </w:t>
            </w:r>
            <w:proofErr w:type="spellStart"/>
            <w:r>
              <w:rPr>
                <w:rFonts w:ascii="Times New Roman" w:hAnsi="Times New Roman"/>
                <w:sz w:val="28"/>
              </w:rPr>
              <w:t>Халезова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отрядах: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Трушникова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Н.Л.2отр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Гусева Т.В. 1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(Учителя предметники по расписанию) 3 отряд </w:t>
            </w:r>
          </w:p>
        </w:tc>
      </w:tr>
      <w:tr w:rsidR="0057551F" w:rsidTr="002C4807">
        <w:trPr>
          <w:trHeight w:val="21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25.03.25г./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второй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«День   безопасности»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Минутка безопасности: «Режим дня.  Правила безопасного поведения».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  <w:tab w:val="left" w:pos="167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Огонек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«Давайте познакомимся!»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рисунков «Защитники»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Тренировки по волейболу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консультации.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Синельникова  Е.Н., Авдюкова Е.Ю.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отрядах: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Коржавина Д.А.2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Гусева Т.В.  1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(Учителя предметники по расписанию) 3 отряд</w:t>
            </w:r>
          </w:p>
        </w:tc>
      </w:tr>
      <w:tr w:rsidR="0057551F" w:rsidTr="002C4807">
        <w:trPr>
          <w:trHeight w:val="9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26.03.25г./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третий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«День талантов 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Минутка</w:t>
            </w:r>
            <w:r>
              <w:rPr>
                <w:rFonts w:ascii="Times New Roman" w:hAnsi="Times New Roman"/>
                <w:sz w:val="28"/>
              </w:rPr>
              <w:tab/>
              <w:t>гордости  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Я-гражданин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>».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«Минута славы» - конкурс юных талантов.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час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Тренировки по волейболу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консультации.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мероприятие-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Минулина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Т.В.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отрядах: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Давыдова Н.А. 2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Гусева Т.В. 1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(Учителя предметники по расписанию) 3 отряд</w:t>
            </w:r>
          </w:p>
        </w:tc>
      </w:tr>
      <w:tr w:rsidR="0057551F" w:rsidTr="002C4807">
        <w:trPr>
          <w:trHeight w:val="17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27.03.25г./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четвёртый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«День Мужества»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Минутка сплоченности «</w:t>
            </w:r>
            <w:proofErr w:type="spellStart"/>
            <w:r>
              <w:rPr>
                <w:rFonts w:ascii="Times New Roman" w:hAnsi="Times New Roman"/>
                <w:sz w:val="28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Орлята»»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</w:t>
            </w:r>
            <w:r>
              <w:rPr>
                <w:rFonts w:ascii="Times New Roman" w:hAnsi="Times New Roman"/>
                <w:sz w:val="28"/>
              </w:rPr>
              <w:tab/>
              <w:t>рисунков  «Русские сказки».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Викторина «Люблю Россию»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Коллаж «Мир глазами детей»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«Мастер своего дела». Выставка творческих работ.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tabs>
                <w:tab w:val="left" w:pos="391"/>
                <w:tab w:val="left" w:pos="392"/>
                <w:tab w:val="left" w:pos="200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Тренировки по волейболу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консультации.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мероприятие-Воронина  А.М., Матанцева Н.Н.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отрядах: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Попова С.А. 2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Гусева Т.В. 1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(Учителя предметники по расписанию) 3 отряд</w:t>
            </w:r>
          </w:p>
        </w:tc>
      </w:tr>
      <w:tr w:rsidR="0057551F" w:rsidTr="002C4807">
        <w:trPr>
          <w:trHeight w:val="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28.03.25г./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пятница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пятый</w:t>
            </w:r>
          </w:p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2C48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«День   Народного единства»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1F" w:rsidRDefault="0057551F" w:rsidP="0057551F">
            <w:pPr>
              <w:pStyle w:val="a6"/>
              <w:widowControl w:val="0"/>
              <w:numPr>
                <w:ilvl w:val="0"/>
                <w:numId w:val="9"/>
              </w:numPr>
              <w:spacing w:after="0" w:line="240" w:lineRule="auto"/>
              <w:ind w:hanging="68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Минутка здоровья «Правильное питание»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Закрытие смены «Под флагом России»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Турнир по волейболу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посвященный Дню народного единства.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Предметные консультации.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Общелагерное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мероприятие-Авдюкова Е.Ю. </w:t>
            </w:r>
            <w:proofErr w:type="spellStart"/>
            <w:r>
              <w:rPr>
                <w:rFonts w:ascii="Times New Roman" w:hAnsi="Times New Roman"/>
                <w:sz w:val="28"/>
              </w:rPr>
              <w:t>Халезова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Н.Г.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отрядах:</w:t>
            </w:r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Гусева Т.В. 1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</w:p>
          <w:p w:rsidR="0057551F" w:rsidRDefault="0057551F" w:rsidP="0057551F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Мельник Н.А. 2 </w:t>
            </w:r>
            <w:proofErr w:type="spellStart"/>
            <w:r>
              <w:rPr>
                <w:rFonts w:ascii="Times New Roman" w:hAnsi="Times New Roman"/>
                <w:sz w:val="28"/>
              </w:rPr>
              <w:t>отр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7551F" w:rsidRDefault="0057551F" w:rsidP="0057551F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(Учителя предметники по расписанию) 3 отряд</w:t>
            </w:r>
          </w:p>
        </w:tc>
      </w:tr>
    </w:tbl>
    <w:p w:rsidR="0057551F" w:rsidRDefault="0057551F" w:rsidP="0057551F">
      <w:pPr>
        <w:spacing w:after="0" w:line="240" w:lineRule="auto"/>
        <w:ind w:firstLine="360"/>
        <w:jc w:val="center"/>
        <w:rPr>
          <w:rFonts w:ascii="Times New Roman CYR" w:hAnsi="Times New Roman CYR"/>
          <w:b/>
          <w:sz w:val="28"/>
          <w:highlight w:val="white"/>
        </w:rPr>
      </w:pPr>
    </w:p>
    <w:p w:rsidR="0057551F" w:rsidRDefault="0057551F" w:rsidP="0057551F">
      <w:pPr>
        <w:spacing w:after="0" w:line="240" w:lineRule="auto"/>
        <w:jc w:val="both"/>
        <w:rPr>
          <w:highlight w:val="white"/>
        </w:rPr>
      </w:pPr>
    </w:p>
    <w:p w:rsidR="0057551F" w:rsidRDefault="0057551F" w:rsidP="0057551F">
      <w:pPr>
        <w:spacing w:after="0" w:line="240" w:lineRule="auto"/>
        <w:jc w:val="both"/>
        <w:rPr>
          <w:highlight w:val="white"/>
        </w:rPr>
      </w:pPr>
    </w:p>
    <w:p w:rsidR="0057551F" w:rsidRDefault="0057551F" w:rsidP="0057551F"/>
    <w:p w:rsidR="00DB7797" w:rsidRDefault="00DB7797" w:rsidP="0057551F">
      <w:pPr>
        <w:widowControl w:val="0"/>
        <w:autoSpaceDE w:val="0"/>
        <w:autoSpaceDN w:val="0"/>
        <w:spacing w:before="24" w:after="0" w:line="240" w:lineRule="auto"/>
        <w:ind w:firstLine="426"/>
        <w:jc w:val="center"/>
        <w:outlineLvl w:val="5"/>
      </w:pPr>
    </w:p>
    <w:sectPr w:rsidR="00DB7797" w:rsidSect="001C6992">
      <w:pgSz w:w="16838" w:h="11906" w:orient="landscape"/>
      <w:pgMar w:top="851" w:right="1134" w:bottom="170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4E2294"/>
    <w:lvl w:ilvl="0">
      <w:numFmt w:val="bullet"/>
      <w:lvlText w:val="*"/>
      <w:lvlJc w:val="left"/>
    </w:lvl>
  </w:abstractNum>
  <w:abstractNum w:abstractNumId="1">
    <w:nsid w:val="0CEA0CCA"/>
    <w:multiLevelType w:val="hybridMultilevel"/>
    <w:tmpl w:val="8C86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B1615"/>
    <w:multiLevelType w:val="multilevel"/>
    <w:tmpl w:val="A50AE44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1E7E7105"/>
    <w:multiLevelType w:val="multilevel"/>
    <w:tmpl w:val="5B96253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4">
    <w:nsid w:val="2DF55BAF"/>
    <w:multiLevelType w:val="hybridMultilevel"/>
    <w:tmpl w:val="FF50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8475D"/>
    <w:multiLevelType w:val="multilevel"/>
    <w:tmpl w:val="EC60D028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6">
    <w:nsid w:val="587F5209"/>
    <w:multiLevelType w:val="hybridMultilevel"/>
    <w:tmpl w:val="D9AC2B38"/>
    <w:lvl w:ilvl="0" w:tplc="A68E04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B4426"/>
    <w:multiLevelType w:val="hybridMultilevel"/>
    <w:tmpl w:val="8730D79C"/>
    <w:lvl w:ilvl="0" w:tplc="0A7EE0CC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F74E7"/>
    <w:multiLevelType w:val="hybridMultilevel"/>
    <w:tmpl w:val="1EEE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838"/>
    <w:rsid w:val="000B583C"/>
    <w:rsid w:val="00143A4D"/>
    <w:rsid w:val="00144639"/>
    <w:rsid w:val="002A6D1E"/>
    <w:rsid w:val="00311838"/>
    <w:rsid w:val="00394FE8"/>
    <w:rsid w:val="005163A5"/>
    <w:rsid w:val="0057551F"/>
    <w:rsid w:val="007F53B4"/>
    <w:rsid w:val="00915C6E"/>
    <w:rsid w:val="00922B73"/>
    <w:rsid w:val="009A4F04"/>
    <w:rsid w:val="00A93DBA"/>
    <w:rsid w:val="00B64F2A"/>
    <w:rsid w:val="00BE4091"/>
    <w:rsid w:val="00C75047"/>
    <w:rsid w:val="00CD3D59"/>
    <w:rsid w:val="00D22B03"/>
    <w:rsid w:val="00DB7797"/>
    <w:rsid w:val="00DC208E"/>
    <w:rsid w:val="00F9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1183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11838"/>
  </w:style>
  <w:style w:type="character" w:styleId="a5">
    <w:name w:val="Hyperlink"/>
    <w:basedOn w:val="a0"/>
    <w:uiPriority w:val="99"/>
    <w:unhideWhenUsed/>
    <w:rsid w:val="00311838"/>
    <w:rPr>
      <w:color w:val="0000FF" w:themeColor="hyperlink"/>
      <w:u w:val="single"/>
    </w:rPr>
  </w:style>
  <w:style w:type="paragraph" w:styleId="a6">
    <w:name w:val="List Paragraph"/>
    <w:basedOn w:val="a"/>
    <w:link w:val="a7"/>
    <w:qFormat/>
    <w:rsid w:val="00311838"/>
    <w:pPr>
      <w:ind w:left="720"/>
      <w:contextualSpacing/>
    </w:pPr>
  </w:style>
  <w:style w:type="table" w:styleId="a8">
    <w:name w:val="Table Grid"/>
    <w:basedOn w:val="a1"/>
    <w:uiPriority w:val="59"/>
    <w:rsid w:val="00311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basedOn w:val="a0"/>
    <w:link w:val="a6"/>
    <w:rsid w:val="0057551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_sosh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1c</cp:lastModifiedBy>
  <cp:revision>9</cp:revision>
  <dcterms:created xsi:type="dcterms:W3CDTF">2024-10-13T09:33:00Z</dcterms:created>
  <dcterms:modified xsi:type="dcterms:W3CDTF">2025-04-02T07:23:00Z</dcterms:modified>
</cp:coreProperties>
</file>